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815c905ae4e74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25030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MUZEJ SUVREMENE UMJETNOSTI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2.244.884,61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2.504.711,28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2.005.087,30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2.293.353,36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239.797,31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211.357,92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88,1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24.310,56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189.716,76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780,4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24.310,56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189.716,76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780,4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215.486,75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21.641,16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ostvareni su ukupni prihodi poslovanja u iznosu od 2.504.711,28 EUR, ukupni rashodi poslovanja iznose 2.293.353,36 EUR, ostvaren je višak prihoda i primitaka iznos 21.641,16 EUR.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od institucija i tijela EU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112.401,12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8.825,00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Ostvareni manji prihodi u odnosu na prošlu godinu, uplaćeni prihodi odnose se na program Europa Cinemas - potpora za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84.704,97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72.091,38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MKM za financiranje programske aktivnosti manji su za 15% u odnosu na isto razdoblje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98.320,23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83.717,19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Ostvareni prihodi su 15% manji u odnosu na prošlu godinu a odnose se na vlastite prihode - naknade za obavljanje pratećih djelatnosti (izložbe, art kino, radionice, ljeto u MSU...)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90.260,23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123.974,01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prihoda za 37% u odnosu na prošlu godinu zbog više fakturiranih najmova prostora.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12.890,00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za 16% u odnosu na prošlu godinu zbog uplate donacije temeljem ugovora sa TZGZ.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51.500,00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prihoda zbog donacije pet umjetničkih djela.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9.446,20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126.366,91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1337,8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Značajno povećanje prihoda iz nadležnog proračuna za financiranje rashoda za nabavu nefinancijske imovine  u odnosu na prošlu godinu zbog otkupa umjetničkih djela, nabave knjiga za knjižnicu te opreme za potrebe obavljanja redovne muzejske djelatnosti.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641.406,78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873.916,55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za 36% u odnosu na prošlu godinu odnosi se na rast plaća za zaposlene temeljem kolektivnog ugovora.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106.197,83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142.468,28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za 34% u odnosu na prošlu godinu odnosi se na rast plaća za zaposlene temeljem kolektivnog ugovora.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 putovanja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16.985,99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20.587,76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za 21% u odnosu na prošlu godinu odnosi se na povećane troškove službenih putovanja i smještaja vezano uz provedbu aktivnosti.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prijevoz, za rad na terenu i odvojeni život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12.075,81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15.379,00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za 27% u odnosu na prošlu godinu odnosi se na odobrene povećane troškove za prijevoz djelatnicima po kolektivnom ugovoru.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14.327,35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38.800,11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270,8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za 170% u odnosu na prošlu godinu zbog povećanih troškova vezanih uz pripremu interijera i inventara potrebnih za izložbeni postav.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Energija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218.919,91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271.254,73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za 23% u odnosu na prošlu godinu zbog povećanja cijene energenata uslijed inflatornih utjecaja.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35.229,48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58.681,41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166,6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od 66% u odnosu na prošlu godinu zbog poduzetih aktivnosti vezanih uz održavanje rasvjetnih i klimatizacijskih sustava te općenito nabavu potrebnog materijala i pribora.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804,68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2.807,37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348,9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indeksa u odnosu na prošlu godinu zbog nabave sitne opreme i pribora potrebnih za održavanje.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29.149,46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101.252,81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od 247% u odnosu na prošlu godinu zbog vanjskih usluga  vezanih uz održavanje zgrade i opreme.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Zakupnine i najamnine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6.791,15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14.535,28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Povećani troškovi za 114% u odnosu na prošlu godinu zbog najma opreme za potrebe izložbi te obnove godišnjih licenci.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147.731,12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235.855,75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troškova za 59% u odnosu na prošlu godinu zbog angažmana vanjskih suradnika vezanih uz razne programe u Muzeju, studenata za čuvanje izložbi te vanjskih odvjetničkih usluga.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12.344,22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25.899,29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indeksa u odnosu na prošlu godinu zbog povećanih troškova uslijed rastućih potreba ustanove za raznim programskim rješenjima.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81.398,38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202.774,60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indeksa u odnosu na prošlu godinu zbog povećanih troškova vezanih uz uređenje prostora, tiskanje plakata, uređenje prostora i izradu postamenata te čuvanje imovine i osoba.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Premije osiguranja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29.081,32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36.939,96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indeksa za 27% u odnosu na prošlu godinu zbog povećanja cijene premije osiguravateljne kuće.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8.750,76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17.924,93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204,8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indeksa u odnosu na prošlu godinu zbog povećanih troškova koji prate redovnu i programsku aktivnost Muzeja.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217.933,51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5.096,86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Značajno smanjenje indeksa u ovom razdoblju u odnosu na prošlu godinu iz razloga što je u 2024. godini plaćena glavnica po sudskoj presudi u sporu sa Zagrebačkim plavim.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Troškovi sudskih postupaka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38.167,41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Realizacija troškova u ovom izvještajnom razdoblju vezano uz sudsko rješenje o pokrivanju parničnih troškova te nadoknadi imovinske štete.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5.232,35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27.498,64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525,6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indeksa u odnosu na prošlu godinu zbog knjiženog troška koji je proizašao iz kvartalnog obračuna PDV-a a odnosi se na kraj 2024.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Zatezne kamate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304.040,08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301,45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Značajno smanjenje indeksa u ovom razdoblju u odnosu na prošlu godinu iz razloga što je u 2024. godini plaćene kamate po sudskoj presudi u sporu sa Zagrebačkim plavim.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dane u inozemstvo i unutar općeg proračuna (šifre 361+362+363+365+366+367+368+369)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Realilzacija troška u 2024. godini odnosi se na sporazum o suradnji s Van Abbemuseum, School of Common Knowledge.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7.051,71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35.288,30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500,4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indeksa u odnosu na prošlu godinu uslijed nabavke nove računalne opreme, uređaja za Wifi pristupne točke, projektora za potrebe postava izložbi te računalna periferija.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43.379,80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indeksa u odnosu na prošlu godinu zbog nabave novog projekcijskog platna, viličara, stroja za pranje poda, usisavača, TV uređaja za potrebe postava izložbe.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Umjetnička djela (izložena u galerijama, muzejima i slično)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15.000,00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110.100,01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Značajno povećanje indeksa u odnosu na prošlu godinu zbog nabave novih umjetničkih dijela.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113.539,16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Navedene nepodmirene dospjele obveze odnose se na ulazne račune iz drugog kvartala 2025. za materijalne troškove koji će biti podmireni u idućem periodu.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32920f930417d" /></Relationships>
</file>