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a0e8be6964be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25030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MUZEJ SUVREMENE UMJETNOSTI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4.514.093,72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5.450.471,35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4.511.711,68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4.882.306,96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2.382,04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568.164,39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225.429,68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446.847,89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225.429,68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446.847,89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121.316,50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ovom izvještajnom razdoblju ostvareni su ukupni prihodi poslovanja u iznosu od 5.450.471,35 EUR, ukupni rashodi poslovanja iznose 4.882.306,96 EUR, ukupni rashodi za nabavu nefinancijske imovine 446.847,89 EUR te je ostvaren višak prihoda i primitaka iznosa 121.316,50 EUR.  Manjak prihoda i primitaka - preneseni iznosi 241.961,33 EUR a manjak prihoda i primitaka za pokriće u sljedećem razdoblju iznosi 120.644,83 EUR.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134.307,12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101.240,00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75,4</w:t>
            </w:r>
          </w:p>
        </w:tc>
      </w:tr>
    </w:tbl>
    <w:p>
      <w:pPr>
        <w:spacing w:before="0" w:after="0"/>
      </w:pPr>
    </w:p>
    <w:p>
      <w:r>
        <w:t xml:space="preserve">Prihodi od tekućih pomoći od međunarodnih organizacija te institucija i tijela EU ostvareni su za 25 % manje od prošle godine a odnose se na provedbu programa pod nazivima Wikimedia Foundation, Adrion, Europa Cinemas, TAoR i dr.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215.113,18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167.345,96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77,8</w:t>
            </w:r>
          </w:p>
        </w:tc>
      </w:tr>
    </w:tbl>
    <w:p>
      <w:pPr>
        <w:spacing w:before="0" w:after="0"/>
      </w:pPr>
    </w:p>
    <w:p>
      <w:r>
        <w:t xml:space="preserve">Ostvareni prihodi su 22% manji u odnosu na prošlu godinu a odnose se na vlasitite prihode - naknade za obavljanje pratećih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45.176,54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30.476,93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67,5</w:t>
            </w:r>
          </w:p>
        </w:tc>
      </w:tr>
    </w:tbl>
    <w:p>
      <w:pPr>
        <w:spacing w:before="0" w:after="0"/>
      </w:pPr>
    </w:p>
    <w:p>
      <w:r>
        <w:t xml:space="preserve">Prihodi od prodaje proizvoda i robe manji su za 32% u odnosu na prošlogodišnje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15.390,00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59.370,58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385,8</w:t>
            </w:r>
          </w:p>
        </w:tc>
      </w:tr>
    </w:tbl>
    <w:p>
      <w:pPr>
        <w:spacing w:before="0" w:after="0"/>
      </w:pPr>
    </w:p>
    <w:p>
      <w:r>
        <w:t xml:space="preserve">Povećanje u odnosu na prošlu godinu se odnosi na uplate tekućih donacija temeljem ugovora sa TZGZ te donacijama za izložbe.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155.867,00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50,4</w:t>
            </w:r>
          </w:p>
        </w:tc>
      </w:tr>
    </w:tbl>
    <w:p>
      <w:pPr>
        <w:spacing w:before="0" w:after="0"/>
      </w:pPr>
    </w:p>
    <w:p>
      <w:r>
        <w:t xml:space="preserve">Kapitalne donacije odnose se na donacije umjetničkih djela - smanjenje prihoda odnosi se na manje kapitalnih donacija u 2025. u odnosu na 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3.470.097,58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4.378.697,69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Povećanje prihoda iz nadležnog proračuna za financiranje rashoda poslovanja - materijalni troškovi, plaća, održavanje, programi...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20.243,03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256.432,01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1266,8</w:t>
            </w:r>
          </w:p>
        </w:tc>
      </w:tr>
    </w:tbl>
    <w:p>
      <w:pPr>
        <w:spacing w:before="0" w:after="0"/>
      </w:pPr>
    </w:p>
    <w:p>
      <w:r>
        <w:t xml:space="preserve">Značajno povećanje prihoda iz nadležnog proračuna za financiranje rashoda za nabavu nefinancijske imovine u odnosu na prošlu godinu zbog otkupa umjetničkih djela, nabave knjiga za knjižnicu te opreme za potrebe obavljanja redovne muzejske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229.399,26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285.935,12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Povećanje za 25% u odnosu na prošlu godinu odnosi se na rast plaća za zaposlene temeljem kolektivnog ugovora.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415.686,71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567.468,44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136,5</w:t>
            </w:r>
          </w:p>
        </w:tc>
      </w:tr>
    </w:tbl>
    <w:p>
      <w:pPr>
        <w:spacing w:before="0" w:after="0"/>
      </w:pPr>
    </w:p>
    <w:p>
      <w:r>
        <w:t xml:space="preserve">Povećanje za 37% u odnosu na prošlu godinu zbog povećanja cijene energenata uslijed inflatornih utjecaja.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99.419,39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192.994,79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194,1</w:t>
            </w:r>
          </w:p>
        </w:tc>
      </w:tr>
    </w:tbl>
    <w:p>
      <w:pPr>
        <w:spacing w:before="0" w:after="0"/>
      </w:pPr>
    </w:p>
    <w:p>
      <w:r>
        <w:t xml:space="preserve">Značajno povećanje u odnosu na prošlu godinu zbog poduzetih aktivnosti vezanih uz održavanje zgrade te općenito nabavu potrebnog materijala i pribora.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525.859,79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373.013,91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70,9</w:t>
            </w:r>
          </w:p>
        </w:tc>
      </w:tr>
    </w:tbl>
    <w:p>
      <w:pPr>
        <w:spacing w:before="0" w:after="0"/>
      </w:pPr>
    </w:p>
    <w:p>
      <w:r>
        <w:t xml:space="preserve">Smanjenje troškova za 29% u odnosu na prošlu godinu zbog manje realizacije ugovorenih vanjskih usluga održavanja.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22.222,88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29.307,06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r>
        <w:t xml:space="preserve">Povećanje za 32% u odnosu na prošlu godinu zbog povećanja cijene komunalnih usluga uslijed rasta opće razine cijena.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17.044,25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26.629,41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156,2</w:t>
            </w:r>
          </w:p>
        </w:tc>
      </w:tr>
    </w:tbl>
    <w:p>
      <w:pPr>
        <w:spacing w:before="0" w:after="0"/>
      </w:pPr>
    </w:p>
    <w:p>
      <w:r>
        <w:t xml:space="preserve">Povećanje troškova u odnosu na prošlu godinu zbog najma opreme potrebne za održavanje izložbi te obnova godišnjih licenci.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411.718,74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546.796,43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132,8</w:t>
            </w:r>
          </w:p>
        </w:tc>
      </w:tr>
    </w:tbl>
    <w:p>
      <w:pPr>
        <w:spacing w:before="0" w:after="0"/>
      </w:pPr>
    </w:p>
    <w:p>
      <w:r>
        <w:t xml:space="preserve">Povećanje troškova u odnosu na prošlu godinu zbog angažmana vanjskih suraddnika vezanih uz razne programe u Muzeju, studenata za čuvanje izložbi te vanjskih odvjetničkih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37.722,42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58.490,25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155,1</w:t>
            </w:r>
          </w:p>
        </w:tc>
      </w:tr>
    </w:tbl>
    <w:p>
      <w:pPr>
        <w:spacing w:before="0" w:after="0"/>
      </w:pPr>
    </w:p>
    <w:p>
      <w:r>
        <w:t xml:space="preserve">Povećanje troškova u odnosu na prošlu godinu zbog povećanih troškova uslijed rastućih potreba ustanove za raznim programskim rješenjima.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362.517,57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462.819,15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127,7</w:t>
            </w:r>
          </w:p>
        </w:tc>
      </w:tr>
    </w:tbl>
    <w:p>
      <w:pPr>
        <w:spacing w:before="0" w:after="0"/>
      </w:pPr>
    </w:p>
    <w:p>
      <w:r>
        <w:t xml:space="preserve">Povećanje troškova u odnosu na prošlu godinu zbog povećanih troškova vezanih uz uređenje prostora, tiskanje plakata i izradu postamenata te čuvanje imovine i osoba.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29.923,71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37.059,96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Povećanje troškova u odnosu na prošlu godinu zbog povećanja cijene premije osiguravateljne kuće.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27.437,66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24.189,99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88,2</w:t>
            </w:r>
          </w:p>
        </w:tc>
      </w:tr>
    </w:tbl>
    <w:p>
      <w:pPr>
        <w:spacing w:before="0" w:after="0"/>
      </w:pPr>
    </w:p>
    <w:p>
      <w:r>
        <w:t xml:space="preserve">Smanjenje troškova u odnosu na prošlu godinu uslijed racionalizacije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iz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6.186,00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Realizacija troškova u 2025. zbog isplate potpore ugovornim partnerima.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9.888,85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49.295,52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498,5</w:t>
            </w:r>
          </w:p>
        </w:tc>
      </w:tr>
    </w:tbl>
    <w:p>
      <w:pPr>
        <w:spacing w:before="0" w:after="0"/>
      </w:pPr>
    </w:p>
    <w:p>
      <w:r>
        <w:t xml:space="preserve">Povećanje indeksa u odnosu na propšlu godinu uslijed nabavke nove računalne opreme, uređaja za Wifi pristupne točke, projektora za potrebe postava izložbi te računalne periferije.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11.113,25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166.000,30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1493,7</w:t>
            </w:r>
          </w:p>
        </w:tc>
      </w:tr>
    </w:tbl>
    <w:p>
      <w:pPr>
        <w:spacing w:before="0" w:after="0"/>
      </w:pPr>
    </w:p>
    <w:p>
      <w:r>
        <w:t xml:space="preserve">Povećanje troškova u odnosu na prošlu godinu zbog nabave novog projekcijskog platna, viličara, stroja za pranje poda, usisavača, TV uređaja za potrebe  postava izložbi i održavanja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 djela (izložena u galerijama, muzejima i slično)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159.602,69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225.687,01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141,4</w:t>
            </w:r>
          </w:p>
        </w:tc>
      </w:tr>
    </w:tbl>
    <w:p>
      <w:pPr>
        <w:spacing w:before="0" w:after="0"/>
      </w:pPr>
    </w:p>
    <w:p>
      <w:r>
        <w:t xml:space="preserve">Značajno povećanje u odnosu na prošlu godinu zbog nabave novih umjetničkih djela - otkupi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12.187.487,39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12.655.993,06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103,8</w:t>
            </w:r>
          </w:p>
        </w:tc>
      </w:tr>
    </w:tbl>
    <w:p>
      <w:pPr>
        <w:spacing w:before="0" w:after="0"/>
      </w:pPr>
    </w:p>
    <w:p>
      <w:r>
        <w:t xml:space="preserve">Imovina = Obveze i vlastiti izvori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 kulture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4.737.141,36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5.329.154,85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</w:tbl>
    <w:p>
      <w:pPr>
        <w:spacing w:before="0" w:after="0"/>
      </w:pPr>
    </w:p>
    <w:p>
      <w:r>
        <w:t xml:space="preserve">Muzej suvremene umjetnosti iskazuje rashode na šifri 082 Službe kulture. Iznos 5.329.154,85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329.664,86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za materijalne rashode iznose 295.966,92 EUR te se odnose na obveze za tekuće troškove poslovanja, a iste su podmirene početkom siječnja 2026. godine.</w:t>
      </w:r>
    </w:p>
    <w:p>
      <w:r>
        <w:t xml:space="preserve">Dospjele obveze za nabavu nefinancijske imovine u iznosu od 33.213,30 EUR također su podmirene početkom siječnja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EU izvještaj po izvorima financiranja – Programi Unije (510) odnosi se na projekte Europa Cinemas i CREA. Ostvareni prihodi iznose 101.240,00 EUR, dok rashodi iznose 104.627,93 EUR.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d7f2024b7e4840" /></Relationships>
</file>